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0665">
      <w:pPr>
        <w:adjustRightInd w:val="0"/>
        <w:snapToGrid w:val="0"/>
        <w:spacing w:after="78" w:afterLines="25" w:line="276" w:lineRule="auto"/>
        <w:jc w:val="center"/>
        <w:rPr>
          <w:rFonts w:hint="eastAsia"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《公共管理学》课程自学考试大纲</w:t>
      </w:r>
    </w:p>
    <w:p w14:paraId="795416D3">
      <w:pPr>
        <w:spacing w:line="276" w:lineRule="auto"/>
        <w:jc w:val="center"/>
        <w:rPr>
          <w:rFonts w:hint="eastAsia" w:ascii="仿宋_GB2312" w:hAnsi="Times New Roman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/>
          <w:kern w:val="0"/>
          <w:sz w:val="32"/>
          <w:szCs w:val="32"/>
        </w:rPr>
        <w:t>辽宁省高等教育自学考试委员会</w:t>
      </w:r>
    </w:p>
    <w:p w14:paraId="1CC54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课程代码：</w:t>
      </w:r>
      <w:r>
        <w:rPr>
          <w:rFonts w:hint="default" w:ascii="Times New Roman" w:hAnsi="Times New Roman" w:eastAsia="宋体" w:cs="Times New Roman"/>
          <w:sz w:val="24"/>
          <w:szCs w:val="24"/>
        </w:rPr>
        <w:t>03335</w:t>
      </w:r>
    </w:p>
    <w:p w14:paraId="456AB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1205" w:hanging="1205" w:hangingChars="5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使用教材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《公共管理学》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黎民、倪星主编，高等教育出版社，2020年5月第三版。</w:t>
      </w:r>
    </w:p>
    <w:p w14:paraId="712F5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课程性质和学习目的：</w:t>
      </w:r>
    </w:p>
    <w:p w14:paraId="672A9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本大纲供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公共事业管理专业(专升本)《公共管理学》</w:t>
      </w:r>
      <w:r>
        <w:rPr>
          <w:rFonts w:hint="eastAsia" w:ascii="宋体" w:hAnsi="宋体" w:eastAsia="宋体" w:cs="宋体"/>
          <w:sz w:val="24"/>
          <w:szCs w:val="24"/>
        </w:rPr>
        <w:t>自学考试课程使用。</w:t>
      </w:r>
    </w:p>
    <w:p w14:paraId="22D73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《公共管理学》是公共事业管理专业的一门专业基础课。主要研究公共部门</w:t>
      </w:r>
    </w:p>
    <w:p w14:paraId="28CCA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管理活动及其规律性的综合性、应用性学科。本课程旨在使学生系统掌握公共管</w:t>
      </w:r>
    </w:p>
    <w:p w14:paraId="2A7C3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理学的基本理论、知识体系和分析方法，理解公共管理的本质、职能与运行机制， 提升分析、解决公共管理实际问题的能力，培养具有公共精神、法治意识和治理</w:t>
      </w:r>
    </w:p>
    <w:p w14:paraId="540C6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能力的现代公共管理人才。</w:t>
      </w:r>
    </w:p>
    <w:p w14:paraId="54533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考核知识点及考核要求：</w:t>
      </w:r>
    </w:p>
    <w:p w14:paraId="44BF9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第一章 绪论</w:t>
      </w:r>
    </w:p>
    <w:p w14:paraId="182E6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了解：引言</w:t>
      </w:r>
    </w:p>
    <w:p w14:paraId="6F6DE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公共管理成为独立学科的内在依据</w:t>
      </w:r>
    </w:p>
    <w:p w14:paraId="4BBD3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77FBF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一、掌握：公共管理与私人部门管理有本质区别</w:t>
      </w:r>
    </w:p>
    <w:p w14:paraId="34267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二、了解：现代社会变迁推动公共管理发展</w:t>
      </w:r>
    </w:p>
    <w:p w14:paraId="17BED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三、掌握：传统行政学的局限</w:t>
      </w:r>
    </w:p>
    <w:p w14:paraId="38FEA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公共管理学是时代的产物</w:t>
      </w:r>
    </w:p>
    <w:p w14:paraId="0A354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57247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一、了解：西方国家摆脱困境的需要</w:t>
      </w:r>
    </w:p>
    <w:p w14:paraId="3F615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二、了解：科技革命和全球化浪潮</w:t>
      </w:r>
    </w:p>
    <w:p w14:paraId="08333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三、重点掌握：政府管理和民主制度方面的矛盾</w:t>
      </w:r>
    </w:p>
    <w:p w14:paraId="07446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公共管理学的内涵与研究方法</w:t>
      </w:r>
    </w:p>
    <w:p w14:paraId="5CB6E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5BE9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一、掌握：公共管理的含义</w:t>
      </w:r>
    </w:p>
    <w:p w14:paraId="405EF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二、了解：公共管理的构成要素</w:t>
      </w:r>
    </w:p>
    <w:p w14:paraId="519B5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三、掌握：公共管理学的研究内容</w:t>
      </w:r>
    </w:p>
    <w:p w14:paraId="4851E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四、掌握：公共管理学的研究途径与方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法</w:t>
      </w:r>
    </w:p>
    <w:p w14:paraId="533B1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第四节 公共管理学与中国的发展</w:t>
      </w:r>
    </w:p>
    <w:p w14:paraId="5946B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0895E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一、了解：公共管理学与中国的市场经济</w:t>
      </w:r>
    </w:p>
    <w:p w14:paraId="0D4FE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二、了解：公共管理学与中国的社会发展</w:t>
      </w:r>
    </w:p>
    <w:p w14:paraId="241BB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第二章 公共管理理论与实践的发展</w:t>
      </w:r>
    </w:p>
    <w:p w14:paraId="60D69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60F83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公共管理的理论渊源</w:t>
      </w:r>
    </w:p>
    <w:p w14:paraId="18D50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7737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一、掌握：管理理论</w:t>
      </w:r>
    </w:p>
    <w:p w14:paraId="0918D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二、掌握：当代经济学理论</w:t>
      </w:r>
    </w:p>
    <w:p w14:paraId="58972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公共管理学科的发展历程</w:t>
      </w:r>
    </w:p>
    <w:p w14:paraId="575A3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20ECE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一、了解：公共行政时期(1887年—20世纪70年代末)</w:t>
      </w:r>
    </w:p>
    <w:p w14:paraId="33532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二、了解：公共管理时期(1980年至今)</w:t>
      </w:r>
    </w:p>
    <w:p w14:paraId="7A947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新公共管理</w:t>
      </w:r>
    </w:p>
    <w:p w14:paraId="20332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33A31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一、了解：主要工业化国家的新公共管理实践</w:t>
      </w:r>
    </w:p>
    <w:p w14:paraId="64473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二、了解：对新公共管理的评析</w:t>
      </w:r>
    </w:p>
    <w:p w14:paraId="41C5A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第三章 公共管理的管理主体</w:t>
      </w:r>
    </w:p>
    <w:p w14:paraId="3DBE5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1B286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公共组织的理论</w:t>
      </w:r>
    </w:p>
    <w:p w14:paraId="3A565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一、了解：公共组织的概念</w:t>
      </w:r>
    </w:p>
    <w:p w14:paraId="2E9D3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二、掌握：公共组织的特点</w:t>
      </w:r>
    </w:p>
    <w:p w14:paraId="55D6D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三、掌握：公共组织的结构</w:t>
      </w:r>
    </w:p>
    <w:p w14:paraId="31FA8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公共组织的类型</w:t>
      </w:r>
    </w:p>
    <w:p w14:paraId="21BE8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75314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一、了解：政府组织</w:t>
      </w:r>
    </w:p>
    <w:p w14:paraId="36871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二、掌握：非政府公共组织</w:t>
      </w:r>
    </w:p>
    <w:p w14:paraId="2784E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三、重点掌握：公共组织的作用</w:t>
      </w:r>
    </w:p>
    <w:p w14:paraId="7120D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公共组织中的人员</w:t>
      </w:r>
    </w:p>
    <w:p w14:paraId="27CBA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一、掌握：公共组织中的领导者</w:t>
      </w:r>
    </w:p>
    <w:p w14:paraId="4F492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二、了解：公共组织中的一般管理者</w:t>
      </w:r>
    </w:p>
    <w:p w14:paraId="26EF6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三、了解：被管理者</w:t>
      </w:r>
    </w:p>
    <w:p w14:paraId="47538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第四节 传统公共组织的困境与变革</w:t>
      </w:r>
    </w:p>
    <w:p w14:paraId="08CCB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一、了解：科层制的基本特征</w:t>
      </w:r>
    </w:p>
    <w:p w14:paraId="0A1C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二、掌握：传统科层制组织的困境</w:t>
      </w:r>
    </w:p>
    <w:p w14:paraId="4350E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三、重点掌握：公共组织的变革</w:t>
      </w:r>
    </w:p>
    <w:p w14:paraId="1B854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第四章 公共管理的物品及供给</w:t>
      </w:r>
    </w:p>
    <w:p w14:paraId="7A311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11813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公共物品的含义与类型</w:t>
      </w:r>
    </w:p>
    <w:p w14:paraId="634E2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13F31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一、了解：公共物品的含义</w:t>
      </w:r>
    </w:p>
    <w:p w14:paraId="62A2B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二、掌握：公共物品的特性</w:t>
      </w:r>
    </w:p>
    <w:p w14:paraId="43D03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三、了解：判别公共物品的步骤</w:t>
      </w:r>
    </w:p>
    <w:p w14:paraId="5664A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四、掌握：公共物品的分类</w:t>
      </w:r>
    </w:p>
    <w:p w14:paraId="48168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五、掌握：公共物品与私人物品供给</w:t>
      </w:r>
    </w:p>
    <w:p w14:paraId="49BE4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公共物品的供给</w:t>
      </w:r>
    </w:p>
    <w:p w14:paraId="68EC4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一、掌握：公共物品供给的特点</w:t>
      </w:r>
    </w:p>
    <w:p w14:paraId="7836A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二、了解：政府机构与公共物品的供给</w:t>
      </w:r>
    </w:p>
    <w:p w14:paraId="36139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三、掌握：公共物品有效供给的条件</w:t>
      </w:r>
    </w:p>
    <w:p w14:paraId="414D0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四、了解：准公共物品与混合物品的供给</w:t>
      </w:r>
    </w:p>
    <w:p w14:paraId="29702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五、了解：公共物品供给的变化趋势</w:t>
      </w:r>
    </w:p>
    <w:p w14:paraId="471C8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政府与公共物品供给</w:t>
      </w:r>
    </w:p>
    <w:p w14:paraId="2606D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一、掌握：政府提供公共物品的方式</w:t>
      </w:r>
    </w:p>
    <w:p w14:paraId="72435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二、重点掌握：改革政府在公共物品管理中的行为</w:t>
      </w:r>
    </w:p>
    <w:p w14:paraId="4AD51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第五章 公共管理职能</w:t>
      </w:r>
    </w:p>
    <w:p w14:paraId="392BF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173CB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公共管理职能概述</w:t>
      </w:r>
    </w:p>
    <w:p w14:paraId="11E22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一、了解：公共管理职能的内涵及其形成原因</w:t>
      </w:r>
    </w:p>
    <w:p w14:paraId="21308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二、掌握：公共管理职能的构成</w:t>
      </w:r>
    </w:p>
    <w:p w14:paraId="4F1E6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公共管理职能的历史演变</w:t>
      </w:r>
    </w:p>
    <w:p w14:paraId="20096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一、了解：传统社会的公共管理职能</w:t>
      </w:r>
    </w:p>
    <w:p w14:paraId="492B3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二、了解：西方国家公共管理职能及其变迁</w:t>
      </w:r>
    </w:p>
    <w:p w14:paraId="4738B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三、掌握：中华人民共和国成立后我国公共管理职能的嬗变</w:t>
      </w:r>
    </w:p>
    <w:p w14:paraId="0A108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市场经济中的公共管理职能</w:t>
      </w:r>
    </w:p>
    <w:p w14:paraId="49DD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一、掌握：市场机制的缺陷</w:t>
      </w:r>
    </w:p>
    <w:p w14:paraId="059B6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二、掌握：市场经济中公共管理职能的内容</w:t>
      </w:r>
    </w:p>
    <w:p w14:paraId="3D8F2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三、重点掌握：公共管理职能的限度</w:t>
      </w:r>
    </w:p>
    <w:p w14:paraId="69811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第六章 公共管理的运行</w:t>
      </w:r>
    </w:p>
    <w:p w14:paraId="0546F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63D79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公共决策</w:t>
      </w:r>
    </w:p>
    <w:p w14:paraId="1DD6E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一、了解：公共决策与公共管理</w:t>
      </w:r>
    </w:p>
    <w:p w14:paraId="3ADBA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二、了解：公共决策系统及其运行</w:t>
      </w:r>
    </w:p>
    <w:p w14:paraId="3C260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三、掌握：公共决策程序</w:t>
      </w:r>
    </w:p>
    <w:p w14:paraId="24CC4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四、了解：我国公共决策系统的优化</w:t>
      </w:r>
    </w:p>
    <w:p w14:paraId="77675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公共政策管理</w:t>
      </w:r>
    </w:p>
    <w:p w14:paraId="637DC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7284B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一、了解：公共政策与公共管理</w:t>
      </w:r>
    </w:p>
    <w:p w14:paraId="068AD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二、了解：公共政策的性质</w:t>
      </w:r>
    </w:p>
    <w:p w14:paraId="03366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三、掌握：公共政策的设计</w:t>
      </w:r>
    </w:p>
    <w:p w14:paraId="5570C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四、重点掌握：公共政策的执行</w:t>
      </w:r>
    </w:p>
    <w:p w14:paraId="5B840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五、重点掌握：公共政策的评估</w:t>
      </w:r>
    </w:p>
    <w:p w14:paraId="51B35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公共管理的执行与控制</w:t>
      </w:r>
    </w:p>
    <w:p w14:paraId="681F1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一、重点掌握：公共管理的执行</w:t>
      </w:r>
    </w:p>
    <w:p w14:paraId="14D63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二、掌握：公共管理的控制</w:t>
      </w:r>
    </w:p>
    <w:p w14:paraId="2EDF1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第七章 公共管理的管理工具</w:t>
      </w:r>
    </w:p>
    <w:p w14:paraId="3E7FD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6D350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公共部门战略管理</w:t>
      </w:r>
    </w:p>
    <w:p w14:paraId="65053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一、了解：战略管理概述</w:t>
      </w:r>
    </w:p>
    <w:p w14:paraId="2274B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二、了解：公共部门战略管理</w:t>
      </w:r>
    </w:p>
    <w:p w14:paraId="4B6FA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三、掌握：公共部门战略管理的实施</w:t>
      </w:r>
    </w:p>
    <w:p w14:paraId="2C959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四、重点掌握：公共部门战略管理的问题与改进</w:t>
      </w:r>
    </w:p>
    <w:p w14:paraId="530D2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公共部门绩效管理</w:t>
      </w:r>
    </w:p>
    <w:p w14:paraId="625CA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一、掌握：绩效管理概述</w:t>
      </w:r>
    </w:p>
    <w:p w14:paraId="4CD72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二、了解：公共部门绩效评估指标的选择</w:t>
      </w:r>
    </w:p>
    <w:p w14:paraId="460BA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三、了解：公共部门绩效评估指标体系的建构</w:t>
      </w:r>
    </w:p>
    <w:p w14:paraId="133EA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四、重点掌握：公共管理绩效的改进</w:t>
      </w:r>
    </w:p>
    <w:p w14:paraId="56D22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公共部门目标管理</w:t>
      </w:r>
    </w:p>
    <w:p w14:paraId="54DC6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516D6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一、了解：目标管理</w:t>
      </w:r>
    </w:p>
    <w:p w14:paraId="554CA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二、重点掌握：目标管理的过程</w:t>
      </w:r>
    </w:p>
    <w:p w14:paraId="3D63F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三、重点掌握：目标管理的实施</w:t>
      </w:r>
    </w:p>
    <w:p w14:paraId="2D267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四、重点掌握：目标管理的优缺点和在公共部门应用的局限</w:t>
      </w:r>
    </w:p>
    <w:p w14:paraId="56B0F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第八章 公共管理的责任与监控</w:t>
      </w:r>
    </w:p>
    <w:p w14:paraId="375AF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7F99E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公共权力与公共责任</w:t>
      </w:r>
    </w:p>
    <w:p w14:paraId="59EF9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一、了解：公共权力与公共责任</w:t>
      </w:r>
    </w:p>
    <w:p w14:paraId="7E32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二、了解：公共责任的性质与落实</w:t>
      </w:r>
    </w:p>
    <w:p w14:paraId="79F97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公共权力的监控</w:t>
      </w:r>
    </w:p>
    <w:p w14:paraId="3F47B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一、了解：公共权力监控的含义</w:t>
      </w:r>
    </w:p>
    <w:p w14:paraId="0F14E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二、掌握：公共权力监控的机制</w:t>
      </w:r>
    </w:p>
    <w:p w14:paraId="1B832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三、掌握：正确处理对公共权力监控中的问题</w:t>
      </w:r>
    </w:p>
    <w:p w14:paraId="0DBD7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第九章 公共管理中的政府角色</w:t>
      </w:r>
    </w:p>
    <w:p w14:paraId="0F291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4AEEC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政府的性质与作用</w:t>
      </w:r>
    </w:p>
    <w:p w14:paraId="16CF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一、了解：政府的含义与性质</w:t>
      </w:r>
    </w:p>
    <w:p w14:paraId="09EA1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二、掌握：政府的职能与职权</w:t>
      </w:r>
    </w:p>
    <w:p w14:paraId="7C483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三、掌握：政府职能的有限性</w:t>
      </w:r>
    </w:p>
    <w:p w14:paraId="4A5E4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政府与市场的关系</w:t>
      </w:r>
    </w:p>
    <w:p w14:paraId="30A42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29C13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一、了解：政府与市场的区别</w:t>
      </w:r>
    </w:p>
    <w:p w14:paraId="7C4D8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二、了解：政府与市场的联系</w:t>
      </w:r>
    </w:p>
    <w:p w14:paraId="32CC5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三、重点掌握：政府与市场关系中存在的问题</w:t>
      </w:r>
    </w:p>
    <w:p w14:paraId="7871A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四、重点掌握：规范政府与市场关系的措施</w:t>
      </w:r>
    </w:p>
    <w:p w14:paraId="7C940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政府与企业的关系</w:t>
      </w:r>
    </w:p>
    <w:p w14:paraId="1668D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5FCFF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一、了解：政府与企业的区别</w:t>
      </w:r>
    </w:p>
    <w:p w14:paraId="4B8EC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二、了解：政府与企业的联系</w:t>
      </w:r>
    </w:p>
    <w:p w14:paraId="7E547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三、重点掌握：优化我国政企关系的措施</w:t>
      </w:r>
    </w:p>
    <w:p w14:paraId="572A2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第四节 政府与社会的关系</w:t>
      </w:r>
    </w:p>
    <w:p w14:paraId="658A0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1C2D6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一、了解：政府与社会的联系</w:t>
      </w:r>
    </w:p>
    <w:p w14:paraId="456E6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二、掌握：政府与社会关系中存在的问题</w:t>
      </w:r>
    </w:p>
    <w:p w14:paraId="61C80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三、掌握：改善政府与社会关系的措施</w:t>
      </w:r>
    </w:p>
    <w:p w14:paraId="7EC4B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第五节 政府再造</w:t>
      </w:r>
    </w:p>
    <w:p w14:paraId="7A460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一、了解：政府再造的含义</w:t>
      </w:r>
    </w:p>
    <w:p w14:paraId="2C323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二、了解：西方国家的政府再造模式</w:t>
      </w:r>
    </w:p>
    <w:p w14:paraId="3A2C7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三、重点掌握：我国政府的再造模式</w:t>
      </w:r>
    </w:p>
    <w:p w14:paraId="5EEA1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第十章 非政府公共组织</w:t>
      </w:r>
    </w:p>
    <w:p w14:paraId="2E682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191FC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非政府公共组织概述</w:t>
      </w:r>
    </w:p>
    <w:p w14:paraId="18D63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一、了解：非政府公共组织的内涵</w:t>
      </w:r>
    </w:p>
    <w:p w14:paraId="4FD89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二、了解：非政府公共组织的特征和主要类型</w:t>
      </w:r>
    </w:p>
    <w:p w14:paraId="386EE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三、掌握：非政府公共组织的功用</w:t>
      </w:r>
    </w:p>
    <w:p w14:paraId="4442F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非政府公共组织的发展状况及趋势</w:t>
      </w:r>
    </w:p>
    <w:p w14:paraId="239A8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一、了解：非政府公共组织在国内外的发展</w:t>
      </w:r>
    </w:p>
    <w:p w14:paraId="21928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二、掌握：非政府公共组织发展的内在局限</w:t>
      </w:r>
    </w:p>
    <w:p w14:paraId="56B14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三、了解：非政府公共组织发展的趋势</w:t>
      </w:r>
    </w:p>
    <w:p w14:paraId="7AD9F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事业单位</w:t>
      </w:r>
    </w:p>
    <w:p w14:paraId="6AA51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一、掌握：事业单位的内涵</w:t>
      </w:r>
    </w:p>
    <w:p w14:paraId="7D7CB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二、掌握：事业单位的主要特征</w:t>
      </w:r>
    </w:p>
    <w:p w14:paraId="5EBE3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三、了解：事业单位与其他社会组织的区别</w:t>
      </w:r>
    </w:p>
    <w:p w14:paraId="6B279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四、了解：事业单位的类型</w:t>
      </w:r>
    </w:p>
    <w:p w14:paraId="67734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五、重点掌握：我国事业单位目前存在的问题及改革</w:t>
      </w:r>
    </w:p>
    <w:p w14:paraId="05A1D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第四节 公共企业</w:t>
      </w:r>
    </w:p>
    <w:p w14:paraId="1CCE2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一、了解：公共企业的性质及其分布</w:t>
      </w:r>
    </w:p>
    <w:p w14:paraId="5AEE8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二、掌握：公共企业的社会功能</w:t>
      </w:r>
    </w:p>
    <w:p w14:paraId="2092F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三、了解：政府对公共企业的管理</w:t>
      </w:r>
    </w:p>
    <w:p w14:paraId="5069C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四、重点掌握：公共企业存在的问题及改革</w:t>
      </w:r>
    </w:p>
    <w:p w14:paraId="2CD6D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第十一章 公共管理的理论前沿</w:t>
      </w:r>
    </w:p>
    <w:p w14:paraId="26376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79F1D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注意力分配</w:t>
      </w:r>
    </w:p>
    <w:p w14:paraId="76C0B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一、掌握：注意力分配：一个跨学科的理论主题</w:t>
      </w:r>
    </w:p>
    <w:p w14:paraId="33430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二、了解：注意力分配的宏微观研究</w:t>
      </w:r>
    </w:p>
    <w:p w14:paraId="4E529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三、了解：注意力分配的跨学科研究</w:t>
      </w:r>
    </w:p>
    <w:p w14:paraId="65AF9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四、重点掌握：注意力分配与组织研究</w:t>
      </w:r>
    </w:p>
    <w:p w14:paraId="195A7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组织激励</w:t>
      </w:r>
    </w:p>
    <w:p w14:paraId="7AC5D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一、掌握：强激励</w:t>
      </w:r>
    </w:p>
    <w:p w14:paraId="6F68F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二、重点掌握：弱激励</w:t>
      </w:r>
    </w:p>
    <w:p w14:paraId="3D7D7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三、了解：激励扭曲</w:t>
      </w:r>
    </w:p>
    <w:p w14:paraId="2A0CB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绩效博弈</w:t>
      </w:r>
    </w:p>
    <w:p w14:paraId="2FD90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一、了解：绩效评估与绩效博弈</w:t>
      </w:r>
    </w:p>
    <w:p w14:paraId="6AD0A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二、了解：绩效博弈行为的类型学</w:t>
      </w:r>
    </w:p>
    <w:p w14:paraId="7081F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三、掌握：绩效博弈的测量与应对</w:t>
      </w:r>
    </w:p>
    <w:p w14:paraId="3EB81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第十二章 公共管理的实践热点</w:t>
      </w:r>
    </w:p>
    <w:p w14:paraId="363EF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06221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第一节 大数据与公共管理</w:t>
      </w:r>
    </w:p>
    <w:p w14:paraId="6E172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6C25D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一、了解：大数据的崛起及迅速发展</w:t>
      </w:r>
    </w:p>
    <w:p w14:paraId="25FE4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二、掌握：大数据对公共管理的影响</w:t>
      </w:r>
    </w:p>
    <w:p w14:paraId="152D3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三、重点掌握：政府应该如何应对大数据时代</w:t>
      </w:r>
    </w:p>
    <w:p w14:paraId="7A292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第二节 公共危机管理</w:t>
      </w:r>
    </w:p>
    <w:p w14:paraId="6C152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02904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一、了解：公共危机概述</w:t>
      </w:r>
    </w:p>
    <w:p w14:paraId="253DA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二、掌握：公共危机管理的概述</w:t>
      </w:r>
    </w:p>
    <w:p w14:paraId="4C620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三、重点掌握：公共危机管理的运行机制</w:t>
      </w:r>
    </w:p>
    <w:p w14:paraId="4E516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第三节 公共管理新模式的探索</w:t>
      </w:r>
    </w:p>
    <w:p w14:paraId="5758B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了解：引言</w:t>
      </w:r>
    </w:p>
    <w:p w14:paraId="48A5D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一、了解：单一模式论</w:t>
      </w:r>
    </w:p>
    <w:p w14:paraId="3F186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二、了解：多模式论</w:t>
      </w:r>
    </w:p>
    <w:p w14:paraId="5A71AFB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0614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试题举例：</w:t>
      </w:r>
    </w:p>
    <w:p w14:paraId="6B44E2D7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一、单项选择题(本大题共10小题，每小题1分，共10分)</w:t>
      </w:r>
    </w:p>
    <w:p w14:paraId="79BCB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1.根据政策功能的不同，公共政策可以分为</w:t>
      </w:r>
    </w:p>
    <w:p w14:paraId="084A2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A.元政策、基本政策、具体政策</w:t>
      </w:r>
    </w:p>
    <w:p w14:paraId="6136F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B.政治政策、经济政策、社会政策、文化政策</w:t>
      </w:r>
    </w:p>
    <w:p w14:paraId="6F07C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C.分配性政策、规制性政策、再分配性政策、构成性政策</w:t>
      </w:r>
    </w:p>
    <w:p w14:paraId="5D2CB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D.长期政策、中期政策、短期政策</w:t>
      </w:r>
    </w:p>
    <w:p w14:paraId="7B124A8A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二、多项选择题(本大题共5小题，每小题2分，共10分)</w:t>
      </w:r>
    </w:p>
    <w:p w14:paraId="1B6F4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11.公共组织中的领导者须具备的素质包括</w:t>
      </w:r>
    </w:p>
    <w:p w14:paraId="052CC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 xml:space="preserve">A.思想品德素质 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sz w:val="21"/>
          <w:szCs w:val="21"/>
        </w:rPr>
        <w:t xml:space="preserve">B.文化知识素质 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1"/>
          <w:szCs w:val="21"/>
        </w:rPr>
        <w:t>C.领导能力素质</w:t>
      </w:r>
    </w:p>
    <w:p w14:paraId="1A52D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 xml:space="preserve">D.心理素质 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sz w:val="21"/>
          <w:szCs w:val="21"/>
        </w:rPr>
        <w:t>E.身体素质</w:t>
      </w:r>
    </w:p>
    <w:p w14:paraId="4FECC872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三、填空题(本大题共10小题，每小题1分，共10分)</w:t>
      </w:r>
    </w:p>
    <w:p w14:paraId="037B4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16.公共管理学是主要研究____活动及其规律的学科。</w:t>
      </w:r>
    </w:p>
    <w:p w14:paraId="31A2C2B2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四、名词解释(本大题共5小题，每小题3分，共15分)</w:t>
      </w:r>
    </w:p>
    <w:p w14:paraId="1E896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26.公共企业</w:t>
      </w:r>
    </w:p>
    <w:p w14:paraId="5AD7B7E4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五、简答题(本大题共5小题，每小题6分，共30分)</w:t>
      </w:r>
    </w:p>
    <w:p w14:paraId="46D28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31.简述公共物品的基本特征。</w:t>
      </w:r>
    </w:p>
    <w:p w14:paraId="402CE1A4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六、论述题(本题10分)</w:t>
      </w:r>
    </w:p>
    <w:p w14:paraId="13D6C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36.试述公共部门战略管理的问题与改进。</w:t>
      </w:r>
    </w:p>
    <w:p w14:paraId="616963DC">
      <w:pPr>
        <w:pStyle w:val="4"/>
        <w:spacing w:before="156" w:beforeLines="50" w:beforeAutospacing="0" w:after="156" w:afterLines="50" w:afterAutospacing="0" w:line="360" w:lineRule="exact"/>
        <w:rPr>
          <w:rFonts w:hint="eastAsia" w:ascii="Times New Roman" w:hAnsi="黑体" w:eastAsia="黑体" w:cs="Times New Roman"/>
          <w:sz w:val="21"/>
          <w:szCs w:val="21"/>
        </w:rPr>
      </w:pPr>
      <w:r>
        <w:rPr>
          <w:rFonts w:hint="eastAsia" w:ascii="Times New Roman" w:hAnsi="黑体" w:eastAsia="黑体" w:cs="Times New Roman"/>
          <w:sz w:val="21"/>
          <w:szCs w:val="21"/>
        </w:rPr>
        <w:t>七、案例分析题(本题15分)</w:t>
      </w:r>
    </w:p>
    <w:p w14:paraId="0826E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 xml:space="preserve">37. 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          </w:t>
      </w:r>
      <w:r>
        <w:rPr>
          <w:rFonts w:hint="eastAsia" w:ascii="黑体" w:hAnsi="黑体" w:eastAsia="黑体" w:cs="黑体"/>
          <w:sz w:val="21"/>
          <w:szCs w:val="21"/>
        </w:rPr>
        <w:t>吉林省环保政策执行</w:t>
      </w:r>
    </w:p>
    <w:p w14:paraId="558C9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为落实《美丽吉林建设规划纲要(2024-2035年)》,破解企业环保合规与发展难题，吉林省以环评改革为抓手，构建“政策创新+精准服务+多元共治”的公共管理模式，推动环保政策落地见效，实现生态保护与经济高质量发展双赢，成为公共管理赋能生态治理的典型实践。</w:t>
      </w:r>
    </w:p>
    <w:p w14:paraId="47CC4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吉林省作为农业大省、生态强省，在推进产业升级中面临企业环评手续繁琐、环保投入压力大等痛点，部分中小企业因合规成本过高陷入发展困境。为破解这一难题，省生态环境厅牵头，联合发改委、农业农村厅等部门，落实环评改革“十项举措”,以公共管理手段优化政策执行，兼顾监管刚性与服务温度。</w:t>
      </w:r>
    </w:p>
    <w:p w14:paraId="21D86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是制度创新减负担，扩大环评豁免范围，对谷物磨制等4类项目豁免审批，推行12类农副食品加工项目“两证合一”审批，每年惠及150余家企业；二是精准服务提效能，建立“三张项目清单”,为重大项目配备专属秘书，实施“打捆”审批、容缺受理，压缩审批时限近30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%；三</w:t>
      </w:r>
      <w:r>
        <w:rPr>
          <w:rFonts w:hint="eastAsia" w:ascii="黑体" w:hAnsi="黑体" w:eastAsia="黑体" w:cs="黑体"/>
          <w:sz w:val="21"/>
          <w:szCs w:val="21"/>
        </w:rPr>
        <w:t>是多元共治强保障，组织专家上门帮扶，创新园区集中治污模式，为辽源袜业园区企业节约监测设备成本2000万元，同时将1215家合规企业纳入执法正面清单，推行非现场监管。</w:t>
      </w:r>
    </w:p>
    <w:p w14:paraId="74B2C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政策实施以来，吉林省环评审批效率大幅提升，重大项目落地周期缩短，2025年节能环保公共预算支出达150.2亿元，生态环境质量持续优化。企业环保合规意愿显著增强，绿 色制造体系不断完善，累计建成省级绿色工厂214个，实现了生态效益、经济效益与社会效</w:t>
      </w:r>
    </w:p>
    <w:p w14:paraId="70AFF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益的协同发展，为美丽吉林建设筑牢公共管理支撑。</w:t>
      </w:r>
    </w:p>
    <w:p w14:paraId="1C64C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根据以上材料，分析公共政策执行的影响因素。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9D1607-6736-4514-A6DC-7988C1F4D5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7661FFC-1CEB-4A09-80AF-9D3CB34D13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75D0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994539">
                          <w:pPr>
                            <w:pStyle w:val="2"/>
                            <w:rPr>
                              <w:rFonts w:hint="eastAsia" w:eastAsiaTheme="minorEastAsia"/>
                              <w:b w:val="0"/>
                              <w:bCs w:val="0"/>
                              <w:color w:val="auto"/>
                              <w:lang w:eastAsia="zh-CN"/>
                            </w:rPr>
                          </w:pP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t>第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instrText xml:space="preserve"> PAGE  \* MERGEFORMAT </w:instrTex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t>1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b w:val="0"/>
                              <w:bCs w:val="0"/>
                              <w:color w:val="auto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t xml:space="preserve">页 </w:t>
                          </w:r>
                          <w:r>
                            <w:rPr>
                              <w:rFonts w:hint="eastAsia"/>
                              <w:b w:val="0"/>
                              <w:bCs w:val="0"/>
                              <w:color w:val="auto"/>
                              <w:lang w:eastAsia="zh-CN"/>
                            </w:rPr>
                            <w:t>（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t>共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instrText xml:space="preserve"> NUMPAGES  \* MERGEFORMAT </w:instrTex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t>9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b w:val="0"/>
                              <w:bCs w:val="0"/>
                              <w:color w:val="auto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b w:val="0"/>
                              <w:bCs w:val="0"/>
                              <w:color w:val="auto"/>
                            </w:rPr>
                            <w:t>页</w:t>
                          </w:r>
                          <w:r>
                            <w:rPr>
                              <w:rFonts w:hint="eastAsia"/>
                              <w:b w:val="0"/>
                              <w:bCs w:val="0"/>
                              <w:color w:val="auto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994539">
                    <w:pPr>
                      <w:pStyle w:val="2"/>
                      <w:rPr>
                        <w:rFonts w:hint="eastAsia" w:eastAsiaTheme="minorEastAsia"/>
                        <w:b w:val="0"/>
                        <w:bCs w:val="0"/>
                        <w:color w:val="auto"/>
                        <w:lang w:eastAsia="zh-CN"/>
                      </w:rPr>
                    </w:pPr>
                    <w:r>
                      <w:rPr>
                        <w:b w:val="0"/>
                        <w:bCs w:val="0"/>
                        <w:color w:val="auto"/>
                      </w:rPr>
                      <w:t>第</w:t>
                    </w:r>
                    <w:r>
                      <w:rPr>
                        <w:b w:val="0"/>
                        <w:bCs w:val="0"/>
                        <w:color w:val="auto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color w:val="auto"/>
                      </w:rPr>
                      <w:instrText xml:space="preserve"> PAGE  \* MERGEFORMAT </w:instrText>
                    </w:r>
                    <w:r>
                      <w:rPr>
                        <w:b w:val="0"/>
                        <w:bCs w:val="0"/>
                        <w:color w:val="auto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color w:val="auto"/>
                      </w:rPr>
                      <w:t>1</w:t>
                    </w:r>
                    <w:r>
                      <w:rPr>
                        <w:b w:val="0"/>
                        <w:bCs w:val="0"/>
                        <w:color w:val="auto"/>
                      </w:rPr>
                      <w:fldChar w:fldCharType="end"/>
                    </w:r>
                    <w:r>
                      <w:rPr>
                        <w:rFonts w:hint="eastAsia"/>
                        <w:b w:val="0"/>
                        <w:bCs w:val="0"/>
                        <w:color w:val="auto"/>
                        <w:lang w:val="en-US" w:eastAsia="zh-CN"/>
                      </w:rPr>
                      <w:t xml:space="preserve"> </w:t>
                    </w:r>
                    <w:r>
                      <w:rPr>
                        <w:b w:val="0"/>
                        <w:bCs w:val="0"/>
                        <w:color w:val="auto"/>
                      </w:rPr>
                      <w:t xml:space="preserve">页 </w:t>
                    </w:r>
                    <w:r>
                      <w:rPr>
                        <w:rFonts w:hint="eastAsia"/>
                        <w:b w:val="0"/>
                        <w:bCs w:val="0"/>
                        <w:color w:val="auto"/>
                        <w:lang w:eastAsia="zh-CN"/>
                      </w:rPr>
                      <w:t>（</w:t>
                    </w:r>
                    <w:r>
                      <w:rPr>
                        <w:b w:val="0"/>
                        <w:bCs w:val="0"/>
                        <w:color w:val="auto"/>
                      </w:rPr>
                      <w:t>共</w:t>
                    </w:r>
                    <w:r>
                      <w:rPr>
                        <w:b w:val="0"/>
                        <w:bCs w:val="0"/>
                        <w:color w:val="auto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color w:val="auto"/>
                      </w:rPr>
                      <w:instrText xml:space="preserve"> NUMPAGES  \* MERGEFORMAT </w:instrText>
                    </w:r>
                    <w:r>
                      <w:rPr>
                        <w:b w:val="0"/>
                        <w:bCs w:val="0"/>
                        <w:color w:val="auto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color w:val="auto"/>
                      </w:rPr>
                      <w:t>9</w:t>
                    </w:r>
                    <w:r>
                      <w:rPr>
                        <w:b w:val="0"/>
                        <w:bCs w:val="0"/>
                        <w:color w:val="auto"/>
                      </w:rPr>
                      <w:fldChar w:fldCharType="end"/>
                    </w:r>
                    <w:r>
                      <w:rPr>
                        <w:rFonts w:hint="eastAsia"/>
                        <w:b w:val="0"/>
                        <w:bCs w:val="0"/>
                        <w:color w:val="auto"/>
                        <w:lang w:val="en-US" w:eastAsia="zh-CN"/>
                      </w:rPr>
                      <w:t xml:space="preserve"> </w:t>
                    </w:r>
                    <w:r>
                      <w:rPr>
                        <w:b w:val="0"/>
                        <w:bCs w:val="0"/>
                        <w:color w:val="auto"/>
                      </w:rPr>
                      <w:t>页</w:t>
                    </w:r>
                    <w:r>
                      <w:rPr>
                        <w:rFonts w:hint="eastAsia"/>
                        <w:b w:val="0"/>
                        <w:bCs w:val="0"/>
                        <w:color w:val="auto"/>
                        <w:lang w:eastAsia="zh-CN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E7449"/>
    <w:rsid w:val="1FD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29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2026-03-16T00:46:00Z</dcterms:created>
  <dc:creator>倚栏晚画屏</dc:creator>
  <cp:lastModifiedBy>JYP</cp:lastModifiedBy>
  <dcterms:modified xsi:type="dcterms:W3CDTF">2026-03-16T01:23:49Z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F66999EE30824CDCBFA75668D79B6396_11</vt:lpwstr>
  </property>
  <property fmtid="{D5CDD505-2E9C-101B-9397-08002B2CF9AE}" pid="4" name="KSOTemplateDocerSaveRecord">
    <vt:lpwstr>eyJoZGlkIjoiZjQ2MmRhNmFlMGRhOTBjNjZlMTlkMmUxYzZmZDE5ZTUiLCJ1c2VySWQiOiIzMjIwNTg0NTQifQ==</vt:lpwstr>
  </property>
</Properties>
</file>